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143BF" w14:textId="77777777" w:rsidR="00723560" w:rsidRDefault="00723560" w:rsidP="00E04A73">
      <w:pPr>
        <w:jc w:val="center"/>
        <w:rPr>
          <w:rFonts w:ascii="Monotype Corsiva" w:hAnsi="Monotype Corsiva"/>
          <w:sz w:val="28"/>
          <w:szCs w:val="28"/>
        </w:rPr>
      </w:pPr>
    </w:p>
    <w:p w14:paraId="66C0F4CA" w14:textId="77777777" w:rsidR="00723560" w:rsidRDefault="00723560" w:rsidP="00E04A73">
      <w:pPr>
        <w:jc w:val="center"/>
        <w:rPr>
          <w:rFonts w:ascii="Monotype Corsiva" w:hAnsi="Monotype Corsiva"/>
          <w:sz w:val="28"/>
          <w:szCs w:val="28"/>
        </w:rPr>
      </w:pPr>
    </w:p>
    <w:p w14:paraId="137BD3B6" w14:textId="77777777" w:rsidR="00723560" w:rsidRDefault="00723560" w:rsidP="00E04A73">
      <w:pPr>
        <w:jc w:val="center"/>
        <w:rPr>
          <w:rFonts w:ascii="Monotype Corsiva" w:hAnsi="Monotype Corsiva"/>
          <w:sz w:val="28"/>
          <w:szCs w:val="28"/>
        </w:rPr>
      </w:pPr>
    </w:p>
    <w:p w14:paraId="107596EE" w14:textId="77777777" w:rsidR="00723560" w:rsidRDefault="00723560" w:rsidP="00E04A73">
      <w:pPr>
        <w:jc w:val="center"/>
        <w:rPr>
          <w:rFonts w:ascii="Monotype Corsiva" w:hAnsi="Monotype Corsiva"/>
          <w:sz w:val="28"/>
          <w:szCs w:val="28"/>
        </w:rPr>
      </w:pPr>
    </w:p>
    <w:p w14:paraId="0A2BE994" w14:textId="77777777" w:rsidR="00723560" w:rsidRDefault="00723560" w:rsidP="00E04A73">
      <w:pPr>
        <w:jc w:val="center"/>
        <w:rPr>
          <w:rFonts w:ascii="Monotype Corsiva" w:hAnsi="Monotype Corsiva"/>
          <w:sz w:val="28"/>
          <w:szCs w:val="28"/>
        </w:rPr>
      </w:pPr>
    </w:p>
    <w:p w14:paraId="378BB05E" w14:textId="77777777" w:rsidR="00E04A73" w:rsidRPr="00E04A73" w:rsidRDefault="00E04A73" w:rsidP="00E04A73">
      <w:pPr>
        <w:jc w:val="center"/>
        <w:rPr>
          <w:rFonts w:ascii="Monotype Corsiva" w:hAnsi="Monotype Corsiva"/>
          <w:sz w:val="28"/>
          <w:szCs w:val="28"/>
        </w:rPr>
      </w:pPr>
      <w:r w:rsidRPr="00E04A73">
        <w:rPr>
          <w:rFonts w:ascii="Monotype Corsiva" w:hAnsi="Monotype Corsiva"/>
          <w:sz w:val="28"/>
          <w:szCs w:val="28"/>
        </w:rPr>
        <w:t>Somos trasparentes y le cumplimos a Colombia</w:t>
      </w:r>
    </w:p>
    <w:p w14:paraId="00000003" w14:textId="77777777" w:rsidR="001B1EEB" w:rsidRDefault="001B1EE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5E157F5" w14:textId="16C6908E" w:rsidR="00E04A73" w:rsidRPr="00E04A73" w:rsidRDefault="00E04A73" w:rsidP="00E04A73">
      <w:pPr>
        <w:jc w:val="center"/>
        <w:rPr>
          <w:rFonts w:ascii="Monotype Corsiva" w:hAnsi="Monotype Corsiva"/>
          <w:sz w:val="32"/>
          <w:szCs w:val="32"/>
        </w:rPr>
      </w:pPr>
      <w:r w:rsidRPr="00E04A73">
        <w:rPr>
          <w:rFonts w:ascii="Monotype Corsiva" w:hAnsi="Monotype Corsiva"/>
          <w:sz w:val="32"/>
          <w:szCs w:val="32"/>
        </w:rPr>
        <w:t>Cumplir y ser transparentes; deben ser actos inherentes a toda práctica democrática, pues estos, dan muestra de ética y de los más altos valores.</w:t>
      </w:r>
    </w:p>
    <w:p w14:paraId="00000007" w14:textId="77777777" w:rsidR="001B1EEB" w:rsidRDefault="001B1EE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1B1EEB" w:rsidRDefault="001B1EE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48C8F86" w14:textId="77777777" w:rsidR="00723560" w:rsidRDefault="00723560">
      <w:pPr>
        <w:spacing w:after="0"/>
        <w:jc w:val="both"/>
        <w:rPr>
          <w:rFonts w:ascii="Arial" w:eastAsia="Arial" w:hAnsi="Arial" w:cs="Arial"/>
          <w:b/>
          <w:sz w:val="44"/>
          <w:szCs w:val="44"/>
        </w:rPr>
      </w:pPr>
    </w:p>
    <w:p w14:paraId="1F6AAF78" w14:textId="77777777" w:rsidR="00723560" w:rsidRDefault="00723560">
      <w:pPr>
        <w:spacing w:after="0"/>
        <w:jc w:val="both"/>
        <w:rPr>
          <w:rFonts w:ascii="Arial" w:eastAsia="Arial" w:hAnsi="Arial" w:cs="Arial"/>
          <w:b/>
          <w:sz w:val="44"/>
          <w:szCs w:val="44"/>
        </w:rPr>
      </w:pPr>
    </w:p>
    <w:p w14:paraId="5ADA5360" w14:textId="77777777" w:rsidR="00723560" w:rsidRDefault="00723560">
      <w:pPr>
        <w:spacing w:after="0"/>
        <w:jc w:val="both"/>
        <w:rPr>
          <w:rFonts w:ascii="Arial" w:eastAsia="Arial" w:hAnsi="Arial" w:cs="Arial"/>
          <w:b/>
          <w:sz w:val="44"/>
          <w:szCs w:val="44"/>
        </w:rPr>
      </w:pPr>
    </w:p>
    <w:p w14:paraId="04BD8057" w14:textId="77777777" w:rsidR="00723560" w:rsidRDefault="00723560">
      <w:pPr>
        <w:spacing w:after="0"/>
        <w:jc w:val="both"/>
        <w:rPr>
          <w:rFonts w:ascii="Arial" w:eastAsia="Arial" w:hAnsi="Arial" w:cs="Arial"/>
          <w:b/>
          <w:sz w:val="44"/>
          <w:szCs w:val="44"/>
        </w:rPr>
      </w:pPr>
    </w:p>
    <w:p w14:paraId="0000000A" w14:textId="3ABAE680" w:rsidR="001B1EEB" w:rsidRDefault="00C70D6D">
      <w:pPr>
        <w:spacing w:after="0"/>
        <w:jc w:val="both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ESTRATEGIA DE CO</w:t>
      </w:r>
      <w:r w:rsidR="004150DF">
        <w:rPr>
          <w:rFonts w:ascii="Arial" w:eastAsia="Arial" w:hAnsi="Arial" w:cs="Arial"/>
          <w:b/>
          <w:sz w:val="44"/>
          <w:szCs w:val="44"/>
        </w:rPr>
        <w:t xml:space="preserve">MUNICACIÓN RENDICIÓN DE CUENTAS: “LE CUMPLIMOS </w:t>
      </w:r>
      <w:r w:rsidR="00144712">
        <w:rPr>
          <w:rFonts w:ascii="Arial" w:eastAsia="Arial" w:hAnsi="Arial" w:cs="Arial"/>
          <w:b/>
          <w:sz w:val="44"/>
          <w:szCs w:val="44"/>
        </w:rPr>
        <w:t>A</w:t>
      </w:r>
      <w:r w:rsidR="004150DF">
        <w:rPr>
          <w:rFonts w:ascii="Arial" w:eastAsia="Arial" w:hAnsi="Arial" w:cs="Arial"/>
          <w:b/>
          <w:sz w:val="44"/>
          <w:szCs w:val="44"/>
        </w:rPr>
        <w:t xml:space="preserve"> COLOMBIA” CÁMARA DE REPRESENTANTES JULIO 2020-JULIO 2021.</w:t>
      </w:r>
    </w:p>
    <w:p w14:paraId="0000000B" w14:textId="77777777" w:rsidR="001B1EEB" w:rsidRDefault="001B1EE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1B1EEB" w:rsidRDefault="001B1EE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8" w14:textId="77777777" w:rsidR="001B1EEB" w:rsidRDefault="001B1EE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1AC8052" w14:textId="77777777" w:rsidR="00723560" w:rsidRDefault="0072356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1B1EEB" w:rsidRDefault="001B1EE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A" w14:textId="77777777" w:rsidR="001B1EEB" w:rsidRDefault="00C70D6D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INTRODUCCIÓN</w:t>
      </w:r>
    </w:p>
    <w:p w14:paraId="0000001B" w14:textId="77777777" w:rsidR="001B1EEB" w:rsidRDefault="001B1EE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C" w14:textId="77777777" w:rsidR="001B1EEB" w:rsidRDefault="00C70D6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Reconociendo el derecho a la información pública que tiene la ciudadanía y la obligación de una gestión  transparente de cara a la sociedad por parte de las entidades que administran recursos del Estado, se hace necesario el diseño de una estrategia para comunicar el accionar de la Corporación. </w:t>
      </w:r>
    </w:p>
    <w:p w14:paraId="0000001D" w14:textId="77777777" w:rsidR="001B1EEB" w:rsidRDefault="001B1EE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E" w14:textId="0373C87D" w:rsidR="001B1EEB" w:rsidRDefault="00C70D6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estrategia de comunicaciones para una rendición de cuentas </w:t>
      </w:r>
      <w:r w:rsidR="004150DF">
        <w:rPr>
          <w:rFonts w:ascii="Arial" w:eastAsia="Arial" w:hAnsi="Arial" w:cs="Arial"/>
          <w:sz w:val="24"/>
          <w:szCs w:val="24"/>
        </w:rPr>
        <w:t>de la Cámara de Representantes, debe caracterizarse por una contundente y amplia exposición mediática de todos los recursos institucionales a disposición: Canal Congreso, productos de televisión, redes sociales, revista, comunicados, comunicación relacional con otras entidades y medios de comunicación.</w:t>
      </w:r>
    </w:p>
    <w:p w14:paraId="0000001F" w14:textId="77777777" w:rsidR="001B1EEB" w:rsidRDefault="001B1EEB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1" w14:textId="13D9E513" w:rsidR="001B1EEB" w:rsidRDefault="00A279B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Siempre tener en cuenta</w:t>
      </w:r>
      <w:r w:rsidR="00C70D6D">
        <w:rPr>
          <w:rFonts w:ascii="Arial" w:eastAsia="Arial" w:hAnsi="Arial" w:cs="Arial"/>
          <w:sz w:val="24"/>
          <w:szCs w:val="24"/>
        </w:rPr>
        <w:t xml:space="preserve"> la misión, visión</w:t>
      </w:r>
      <w:r>
        <w:rPr>
          <w:rFonts w:ascii="Arial" w:eastAsia="Arial" w:hAnsi="Arial" w:cs="Arial"/>
          <w:sz w:val="24"/>
          <w:szCs w:val="24"/>
        </w:rPr>
        <w:t xml:space="preserve"> y los valores institucionales, se plantea </w:t>
      </w:r>
      <w:r w:rsidR="00C70D6D">
        <w:rPr>
          <w:rFonts w:ascii="Arial" w:eastAsia="Arial" w:hAnsi="Arial" w:cs="Arial"/>
          <w:sz w:val="24"/>
          <w:szCs w:val="24"/>
        </w:rPr>
        <w:t xml:space="preserve">una estrategia comunicativa alineada con la naturaleza de la Corporación. </w:t>
      </w:r>
    </w:p>
    <w:p w14:paraId="00000022" w14:textId="77777777" w:rsidR="001B1EEB" w:rsidRDefault="00C70D6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OBJETIVO GENERAL </w:t>
      </w:r>
    </w:p>
    <w:p w14:paraId="00000023" w14:textId="7862CC7B" w:rsidR="001B1EEB" w:rsidRDefault="00A279B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una R</w:t>
      </w:r>
      <w:r w:rsidR="00C70D6D">
        <w:rPr>
          <w:rFonts w:ascii="Arial" w:eastAsia="Arial" w:hAnsi="Arial" w:cs="Arial"/>
          <w:sz w:val="24"/>
          <w:szCs w:val="24"/>
        </w:rPr>
        <w:t>endició</w:t>
      </w:r>
      <w:r>
        <w:rPr>
          <w:rFonts w:ascii="Arial" w:eastAsia="Arial" w:hAnsi="Arial" w:cs="Arial"/>
          <w:sz w:val="24"/>
          <w:szCs w:val="24"/>
        </w:rPr>
        <w:t>n de Cuentas institucional, con todos los recursos mediáticos a disposición.</w:t>
      </w:r>
    </w:p>
    <w:p w14:paraId="00000024" w14:textId="77777777" w:rsidR="001B1EEB" w:rsidRDefault="00C70D6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Objetivos específicos. </w:t>
      </w:r>
    </w:p>
    <w:p w14:paraId="00000025" w14:textId="77777777" w:rsidR="001B1EEB" w:rsidRDefault="00C70D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Tener una cobertura amplia  y  sucesiva desde los medios de comunicación propios y externos.</w:t>
      </w:r>
    </w:p>
    <w:p w14:paraId="00000026" w14:textId="77777777" w:rsidR="001B1EEB" w:rsidRDefault="00C70D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Lograr la atención e informar a  los públicos internos y externos de la Cámara de Representantes, con los medios disponibles.</w:t>
      </w:r>
    </w:p>
    <w:p w14:paraId="00000027" w14:textId="77777777" w:rsidR="001B1EEB" w:rsidRDefault="00C70D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Lograr impacto  generando institucionalidad.</w:t>
      </w:r>
    </w:p>
    <w:p w14:paraId="00000028" w14:textId="77777777" w:rsidR="001B1EEB" w:rsidRDefault="00C70D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Mostrar orden, claridad y pulcritud, en el desarrollo del evento de rendición de cuentas.</w:t>
      </w:r>
    </w:p>
    <w:p w14:paraId="00000029" w14:textId="77777777" w:rsidR="001B1EEB" w:rsidRDefault="00C70D6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Frentes de apoyo comunicacional </w:t>
      </w:r>
    </w:p>
    <w:p w14:paraId="0000002A" w14:textId="77777777" w:rsidR="001B1EEB" w:rsidRDefault="00C70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Canal Congreso </w:t>
      </w:r>
    </w:p>
    <w:p w14:paraId="0000002B" w14:textId="77777777" w:rsidR="001B1EEB" w:rsidRDefault="00C70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Noticiero de la Cámara </w:t>
      </w:r>
    </w:p>
    <w:p w14:paraId="0000002C" w14:textId="77777777" w:rsidR="001B1EEB" w:rsidRDefault="00C70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Revista Poder Legislativo </w:t>
      </w:r>
    </w:p>
    <w:p w14:paraId="0000002D" w14:textId="77777777" w:rsidR="001B1EEB" w:rsidRDefault="00C70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Página Web </w:t>
      </w:r>
    </w:p>
    <w:p w14:paraId="0000002E" w14:textId="77777777" w:rsidR="001B1EEB" w:rsidRDefault="00C70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Programa Radial </w:t>
      </w:r>
    </w:p>
    <w:p w14:paraId="0000002F" w14:textId="77777777" w:rsidR="001B1EEB" w:rsidRDefault="00C70D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Carteleras digitales </w:t>
      </w:r>
    </w:p>
    <w:p w14:paraId="00000038" w14:textId="7D8D3818" w:rsidR="001B1EEB" w:rsidRPr="00723560" w:rsidRDefault="00C70D6D" w:rsidP="007235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Redes sociales. </w:t>
      </w:r>
    </w:p>
    <w:p w14:paraId="00000039" w14:textId="014B917C" w:rsidR="001B1EEB" w:rsidRDefault="00C70D6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Estrategia </w:t>
      </w:r>
    </w:p>
    <w:p w14:paraId="4B18ECD5" w14:textId="147872F3" w:rsidR="00A279BB" w:rsidRDefault="00A279B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Rendición de Cuentas tendrá un nuevo que la identifique y diferencie de otros ejercicios anteriores, se sugiere: “Le cumplimos a Colombia”</w:t>
      </w:r>
    </w:p>
    <w:p w14:paraId="6BDE83DB" w14:textId="5BADCF52" w:rsidR="00A279BB" w:rsidRDefault="00A279B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rendición de cuentas de acuerdo a la presente estrategia, debe estar enmarcada en un alto nivel de exposición mediática, sin antecedentes en la Corporación</w:t>
      </w:r>
    </w:p>
    <w:p w14:paraId="0F41B0E0" w14:textId="77777777" w:rsidR="007C2AB9" w:rsidRDefault="007C2AB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proponen las siguientes</w:t>
      </w:r>
      <w:r w:rsidR="00C70D6D">
        <w:rPr>
          <w:rFonts w:ascii="Arial" w:eastAsia="Arial" w:hAnsi="Arial" w:cs="Arial"/>
          <w:sz w:val="24"/>
          <w:szCs w:val="24"/>
        </w:rPr>
        <w:t xml:space="preserve"> actividades</w:t>
      </w:r>
      <w:r>
        <w:rPr>
          <w:rFonts w:ascii="Arial" w:eastAsia="Arial" w:hAnsi="Arial" w:cs="Arial"/>
          <w:sz w:val="24"/>
          <w:szCs w:val="24"/>
        </w:rPr>
        <w:t xml:space="preserve"> estratégicas:</w:t>
      </w:r>
    </w:p>
    <w:p w14:paraId="22D0DE48" w14:textId="77777777" w:rsidR="007C2AB9" w:rsidRDefault="007C2AB9">
      <w:pPr>
        <w:jc w:val="both"/>
        <w:rPr>
          <w:rFonts w:ascii="Arial" w:eastAsia="Arial" w:hAnsi="Arial" w:cs="Arial"/>
          <w:sz w:val="24"/>
          <w:szCs w:val="24"/>
        </w:rPr>
      </w:pPr>
    </w:p>
    <w:p w14:paraId="429A88AE" w14:textId="77777777" w:rsidR="007C2AB9" w:rsidRDefault="007C2AB9" w:rsidP="007C2AB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Web temática, el día de la rendición de cuentas, todo el contenido de la página web se colgarán contenidos únicamente dedicados a este evento.</w:t>
      </w:r>
    </w:p>
    <w:p w14:paraId="73EACC10" w14:textId="77777777" w:rsidR="007C2AB9" w:rsidRDefault="007C2AB9" w:rsidP="007C2AB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Videos recopilatorios de los momentos más importantes del año legislativo, que contengan aprobación de reformas, proyectos, debates, entre otros, para rotarlos a manera de cápsulas informativas en el Canal Congreso, al menos cada hora.</w:t>
      </w:r>
    </w:p>
    <w:p w14:paraId="4C6C8F95" w14:textId="77777777" w:rsidR="007C2AB9" w:rsidRDefault="007C2AB9" w:rsidP="007C2AB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Análisis periodístico, realizar un especial con los presentadores y periodistas de mayor experiencia de la Corporación, con una duración de una hora y programarlo en un horario de gran audiencia en el Canal Congreso.</w:t>
      </w:r>
    </w:p>
    <w:p w14:paraId="1AD46B4B" w14:textId="5E145992" w:rsidR="007C2AB9" w:rsidRDefault="007C2AB9" w:rsidP="007C2AB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Impulsar </w:t>
      </w:r>
      <w:r w:rsidR="00E04A73">
        <w:rPr>
          <w:rFonts w:ascii="Arial" w:eastAsia="Arial" w:hAnsi="Arial" w:cs="Arial"/>
          <w:sz w:val="24"/>
          <w:szCs w:val="24"/>
        </w:rPr>
        <w:t>vallas digitales</w:t>
      </w:r>
      <w:r>
        <w:rPr>
          <w:rFonts w:ascii="Arial" w:eastAsia="Arial" w:hAnsi="Arial" w:cs="Arial"/>
          <w:sz w:val="24"/>
          <w:szCs w:val="24"/>
        </w:rPr>
        <w:t xml:space="preserve"> con mensajes alusivos a la rendición de cuentas y que sean movidos por nuestras redes sociales y también la de los representantes, para la más amplia difusión.</w:t>
      </w:r>
    </w:p>
    <w:p w14:paraId="2BF42F95" w14:textId="40CC9DEB" w:rsidR="007C2AB9" w:rsidRDefault="007C2AB9" w:rsidP="007C2AB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Entrevistas a ciudadanos, su percepción de aquellas leyes de mayor impacto social, ejemplo: gratuidad de las vacunas. Rotar en cápsulas a través del Canal Congreso.</w:t>
      </w:r>
    </w:p>
    <w:p w14:paraId="04D30EDD" w14:textId="4FCB4F26" w:rsidR="007C2AB9" w:rsidRDefault="007C2AB9" w:rsidP="007C2AB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Infografías animadas de la rendición de cuentas, que contribuirán</w:t>
      </w:r>
      <w:r w:rsidR="00EE5351">
        <w:rPr>
          <w:rFonts w:ascii="Arial" w:eastAsia="Arial" w:hAnsi="Arial" w:cs="Arial"/>
          <w:sz w:val="24"/>
          <w:szCs w:val="24"/>
        </w:rPr>
        <w:t xml:space="preserve"> a un mecanismo novedoso para la estrategia.</w:t>
      </w:r>
    </w:p>
    <w:p w14:paraId="45A83F18" w14:textId="10EFEF94" w:rsidR="00EE5351" w:rsidRDefault="00EE5351" w:rsidP="007C2AB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Establecer un ranking de los 10 mejores proyectos de ley. Ayudará a la recordación ciudadana.</w:t>
      </w:r>
    </w:p>
    <w:p w14:paraId="5FC6C3E6" w14:textId="53F428C4" w:rsidR="00EE5351" w:rsidRDefault="00EE5351" w:rsidP="007C2AB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Galería fotográfica. Será otra herramienta llamativa desde el punto vista visual, de los mejores eventos, plenarias, entre otros.</w:t>
      </w:r>
    </w:p>
    <w:p w14:paraId="5A4AD9A6" w14:textId="77777777" w:rsidR="00723560" w:rsidRDefault="00723560" w:rsidP="00723560">
      <w:pPr>
        <w:pStyle w:val="Prrafodelista"/>
        <w:jc w:val="both"/>
        <w:rPr>
          <w:rFonts w:ascii="Arial" w:eastAsia="Arial" w:hAnsi="Arial" w:cs="Arial"/>
          <w:sz w:val="24"/>
          <w:szCs w:val="24"/>
        </w:rPr>
      </w:pPr>
    </w:p>
    <w:p w14:paraId="0EF1D201" w14:textId="26C7CE87" w:rsidR="00E92891" w:rsidRDefault="00EE5351" w:rsidP="007C2AB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Terminar como se comenzó. </w:t>
      </w:r>
      <w:r w:rsidR="00E92891">
        <w:rPr>
          <w:rFonts w:ascii="Arial" w:eastAsia="Arial" w:hAnsi="Arial" w:cs="Arial"/>
          <w:sz w:val="24"/>
          <w:szCs w:val="24"/>
        </w:rPr>
        <w:t>Recordemos que antes de su posesión el presidente de la Cámara Germán Blanco recibió la bendición de sus padres, sería interesante hacer un ejercicio similar, como mensaje simbólico y familiar, tras el deber cumplido. Convertirlo en crónica periodística.</w:t>
      </w:r>
    </w:p>
    <w:p w14:paraId="4920DED6" w14:textId="77777777" w:rsidR="00E92891" w:rsidRDefault="00E92891" w:rsidP="00E92891">
      <w:pPr>
        <w:pStyle w:val="Prrafodelista"/>
        <w:jc w:val="both"/>
        <w:rPr>
          <w:rFonts w:ascii="Arial" w:eastAsia="Arial" w:hAnsi="Arial" w:cs="Arial"/>
          <w:sz w:val="24"/>
          <w:szCs w:val="24"/>
        </w:rPr>
      </w:pPr>
    </w:p>
    <w:p w14:paraId="783879B5" w14:textId="77777777" w:rsidR="00E92891" w:rsidRDefault="00E92891" w:rsidP="00E92891">
      <w:pPr>
        <w:pStyle w:val="Prrafodelista"/>
        <w:jc w:val="both"/>
        <w:rPr>
          <w:rFonts w:ascii="Arial" w:eastAsia="Arial" w:hAnsi="Arial" w:cs="Arial"/>
          <w:sz w:val="24"/>
          <w:szCs w:val="24"/>
        </w:rPr>
      </w:pPr>
    </w:p>
    <w:p w14:paraId="4AE542EC" w14:textId="77777777" w:rsidR="00E92891" w:rsidRPr="00E92891" w:rsidRDefault="00E92891" w:rsidP="00E92891">
      <w:pPr>
        <w:pStyle w:val="Prrafodelista"/>
        <w:jc w:val="both"/>
        <w:rPr>
          <w:rFonts w:ascii="Arial" w:eastAsia="Arial" w:hAnsi="Arial" w:cs="Arial"/>
          <w:b/>
          <w:sz w:val="28"/>
          <w:szCs w:val="28"/>
        </w:rPr>
      </w:pPr>
    </w:p>
    <w:p w14:paraId="719445AF" w14:textId="1E713CB6" w:rsidR="00E92891" w:rsidRPr="00E92891" w:rsidRDefault="00E92891" w:rsidP="00E92891">
      <w:pPr>
        <w:pStyle w:val="Prrafodelista"/>
        <w:jc w:val="both"/>
        <w:rPr>
          <w:rFonts w:ascii="Arial" w:eastAsia="Arial" w:hAnsi="Arial" w:cs="Arial"/>
          <w:b/>
          <w:sz w:val="28"/>
          <w:szCs w:val="28"/>
        </w:rPr>
      </w:pPr>
      <w:r w:rsidRPr="00E92891">
        <w:rPr>
          <w:rFonts w:ascii="Arial" w:eastAsia="Arial" w:hAnsi="Arial" w:cs="Arial"/>
          <w:b/>
          <w:sz w:val="28"/>
          <w:szCs w:val="28"/>
        </w:rPr>
        <w:lastRenderedPageBreak/>
        <w:t>Tareas previas</w:t>
      </w:r>
    </w:p>
    <w:p w14:paraId="0000003B" w14:textId="584531CC" w:rsidR="001B1EEB" w:rsidRPr="00E92891" w:rsidRDefault="00C70D6D" w:rsidP="00E92891">
      <w:pPr>
        <w:pStyle w:val="Prrafodelista"/>
        <w:jc w:val="both"/>
        <w:rPr>
          <w:rFonts w:ascii="Arial" w:eastAsia="Arial" w:hAnsi="Arial" w:cs="Arial"/>
          <w:b/>
          <w:sz w:val="28"/>
          <w:szCs w:val="28"/>
        </w:rPr>
      </w:pPr>
      <w:r w:rsidRPr="00E92891">
        <w:rPr>
          <w:rFonts w:ascii="Arial" w:eastAsia="Arial" w:hAnsi="Arial" w:cs="Arial"/>
          <w:b/>
          <w:sz w:val="28"/>
          <w:szCs w:val="28"/>
        </w:rPr>
        <w:t xml:space="preserve">  </w:t>
      </w:r>
    </w:p>
    <w:p w14:paraId="0000003C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Mapeo de públicos.</w:t>
      </w:r>
    </w:p>
    <w:p w14:paraId="0000003D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Comunicación interna (no debe estar supeditada al flujo de información estadístico de cada área, sino a la integralidad, interacción, socialización y comprensión de todas las áreas).</w:t>
      </w:r>
    </w:p>
    <w:p w14:paraId="0000003E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Comunicación externa (Relacionar y facilitar información a medios propios y externos, diseñar  espacios que promuevan esta Rendición de Cuentas.</w:t>
      </w:r>
    </w:p>
    <w:p w14:paraId="0000003F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Página web.</w:t>
      </w:r>
    </w:p>
    <w:p w14:paraId="00000040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Videos institucionales (promoción de informe de gestión de la Rendición de Cuentas).</w:t>
      </w:r>
    </w:p>
    <w:p w14:paraId="00000041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Canal tv (engranar la programación y generar espacios diferentes al noticiero de la Cámara donde se promueva y se explique la Rendición de Cuentas).</w:t>
      </w:r>
    </w:p>
    <w:p w14:paraId="00000042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Radio (promover notas periodísticas entorno a la Rendición de Cuentas). </w:t>
      </w:r>
    </w:p>
    <w:p w14:paraId="00000043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Free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press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44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Streaming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.</w:t>
      </w:r>
    </w:p>
    <w:p w14:paraId="00000045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Interacción entra la ciudadanía y el proceso de rendición de cuentas. </w:t>
      </w:r>
    </w:p>
    <w:p w14:paraId="00000046" w14:textId="77777777" w:rsidR="001B1EEB" w:rsidRDefault="00C70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Utilización de las redes sociales como soporte de la estrategia de interacción con la ciudadanía.</w:t>
      </w:r>
    </w:p>
    <w:p w14:paraId="00000047" w14:textId="77777777" w:rsidR="001B1EEB" w:rsidRDefault="001B1EE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14:paraId="0423E956" w14:textId="36EFCD36" w:rsidR="00E92891" w:rsidRPr="00E92891" w:rsidRDefault="00E92891">
      <w:pPr>
        <w:jc w:val="both"/>
        <w:rPr>
          <w:rFonts w:ascii="Arial" w:eastAsia="Arial" w:hAnsi="Arial" w:cs="Arial"/>
          <w:b/>
          <w:sz w:val="28"/>
          <w:szCs w:val="28"/>
        </w:rPr>
      </w:pPr>
      <w:r w:rsidRPr="00E92891">
        <w:rPr>
          <w:rFonts w:ascii="Arial" w:eastAsia="Arial" w:hAnsi="Arial" w:cs="Arial"/>
          <w:b/>
          <w:sz w:val="28"/>
          <w:szCs w:val="28"/>
        </w:rPr>
        <w:t>Evento central</w:t>
      </w:r>
    </w:p>
    <w:p w14:paraId="00000048" w14:textId="14FE8AEA" w:rsidR="001B1EEB" w:rsidRDefault="00C70D6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acto central de la rendición de cuentas, debe contar con la invitación de miembros de los organismos de control, quienes serán convocados por la Presidencia de la Cámara de Representantes y estará precedido de una campaña de expectativa durante un mes que involucrará los medios de difusión con que cuenta la Corporación. </w:t>
      </w:r>
    </w:p>
    <w:p w14:paraId="00000049" w14:textId="77777777" w:rsidR="001B1EEB" w:rsidRDefault="00C70D6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campaña de expectativa estará centrada en las diferentes redes sociales, información que será replicada en los demás medios de comunicación de la Entidad.</w:t>
      </w:r>
    </w:p>
    <w:p w14:paraId="0000004A" w14:textId="77777777" w:rsidR="001B1EEB" w:rsidRDefault="00C70D6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fundamento es adelantar una campaña de cultura política, a través de videoclips que tendrán una duración máxima de dos minutos tomando como insumo actividad legislativa que desarrollen las Comisiones Constitucionales y Legales.</w:t>
      </w:r>
    </w:p>
    <w:p w14:paraId="0000004B" w14:textId="77777777" w:rsidR="001B1EEB" w:rsidRDefault="00C70D6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idea es hacer un video por Comisión, es decir, 7 en total, que serán promocionados durante el mes de expectativa, para que la comunidad conozca las funciones y naturaleza de cada una de ellas. “En lo posible, se buscará la </w:t>
      </w:r>
      <w:r>
        <w:rPr>
          <w:rFonts w:ascii="Arial" w:eastAsia="Arial" w:hAnsi="Arial" w:cs="Arial"/>
          <w:sz w:val="24"/>
          <w:szCs w:val="24"/>
        </w:rPr>
        <w:lastRenderedPageBreak/>
        <w:t>participación ciudadana, para evidenciar la interacción comunidad – entidad, objetivo central de la rendición de cuentas”.</w:t>
      </w:r>
    </w:p>
    <w:p w14:paraId="0000004C" w14:textId="77777777" w:rsidR="001B1EEB" w:rsidRDefault="00C70D6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segunda estrategia, se grabarán comerciales de los diferentes Representantes a la Cámara, invitando a la ciudadanía a conectarse a la audiencias pública de rendición de cuentas, a comunicarse con la Entidad a través de los canales de comunicación habilitados para tal fin y en general, hacer seguimiento de la actividad legislativa que cada uno de ellos desarrolla, a través de la página Web y las redes sociales.</w:t>
      </w:r>
    </w:p>
    <w:p w14:paraId="0000004D" w14:textId="77777777" w:rsidR="001B1EEB" w:rsidRDefault="00C70D6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estrategias se aplicarán también con la Dirección Administrativa, teniendo como criterio rector poner en evidencia como los gastos e inversiones en que incurrió la administración, fueron indispensables para el cumplimiento de la actividad misional de la Corporación e hicieron posible el encuentro de la comunidad con sus elegidos y permitieron el desarrollo de la labor legislativa y el fortalecimiento de la democracia. </w:t>
      </w:r>
    </w:p>
    <w:p w14:paraId="0000004E" w14:textId="77777777" w:rsidR="001B1EEB" w:rsidRDefault="00C70D6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preguntas, quejas, reclamos y sugerencias más solicitadas por la comunidad a través de la Oficina de atención al ciudadano, se tendrán en cuenta y resueltas en el evento de rendición de cuentas final. </w:t>
      </w:r>
    </w:p>
    <w:p w14:paraId="0000004F" w14:textId="77777777" w:rsidR="001B1EEB" w:rsidRDefault="00C70D6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todas las estrategias promocionales, se hará, en lo posible, traducción en lenguaje de señas.</w:t>
      </w:r>
    </w:p>
    <w:p w14:paraId="00000050" w14:textId="77777777" w:rsidR="001B1EEB" w:rsidRDefault="001B1EEB">
      <w:pPr>
        <w:jc w:val="both"/>
        <w:rPr>
          <w:rFonts w:ascii="Arial" w:eastAsia="Arial" w:hAnsi="Arial" w:cs="Arial"/>
          <w:sz w:val="24"/>
          <w:szCs w:val="24"/>
        </w:rPr>
      </w:pPr>
    </w:p>
    <w:p w14:paraId="00000053" w14:textId="77777777" w:rsidR="001B1EEB" w:rsidRDefault="00C70D6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Campaña de expectativa</w:t>
      </w:r>
    </w:p>
    <w:p w14:paraId="00000054" w14:textId="77777777" w:rsidR="001B1EEB" w:rsidRDefault="00C70D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Treinta (30) días previos, se promocionará el evento  a través de comerciales televisión que serán emitidos en la parrilla del Canal del Congreso y en el noticiero de televisión, además de comerciales radiales, en el programa institucional de sábados y domingos. </w:t>
      </w:r>
    </w:p>
    <w:p w14:paraId="00000055" w14:textId="77777777" w:rsidR="001B1EEB" w:rsidRDefault="001B1EE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6" w14:textId="77777777" w:rsidR="001B1EEB" w:rsidRDefault="00C70D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Comerciales dirigidos a plataformas digitales, con graficación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, video y audio, con contenido de expectativa del evento.</w:t>
      </w:r>
    </w:p>
    <w:p w14:paraId="00000057" w14:textId="77777777" w:rsidR="001B1EEB" w:rsidRDefault="001B1EEB">
      <w:pP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58" w14:textId="77777777" w:rsidR="001B1EEB" w:rsidRDefault="00C70D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Comerciales instructivos para la participación presencial del evento.</w:t>
      </w:r>
    </w:p>
    <w:p w14:paraId="00000059" w14:textId="77777777" w:rsidR="001B1EEB" w:rsidRDefault="001B1EEB">
      <w:pP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5A" w14:textId="77777777" w:rsidR="001B1EEB" w:rsidRDefault="00C70D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textos irán en el siguiente sentido: </w:t>
      </w:r>
    </w:p>
    <w:p w14:paraId="0000005B" w14:textId="77777777" w:rsidR="001B1EEB" w:rsidRDefault="001B1EE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D" w14:textId="23AA96EF" w:rsidR="001B1EEB" w:rsidRDefault="00E92891">
      <w:pPr>
        <w:shd w:val="clear" w:color="auto" w:fill="FFFFFF"/>
        <w:spacing w:after="0" w:line="240" w:lineRule="auto"/>
        <w:ind w:left="10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“Le cumplimos a Colombia” Rendición de Cuentas Cámara de Representantes 2020 - 2021</w:t>
      </w:r>
    </w:p>
    <w:p w14:paraId="0000005E" w14:textId="77777777" w:rsidR="001B1EEB" w:rsidRDefault="001B1EEB">
      <w:pPr>
        <w:spacing w:after="0" w:line="259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60" w14:textId="77777777" w:rsidR="001B1EEB" w:rsidRDefault="001B1EEB">
      <w:pPr>
        <w:spacing w:after="0" w:line="259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61" w14:textId="77777777" w:rsidR="001B1EEB" w:rsidRDefault="001B1EEB">
      <w:pPr>
        <w:spacing w:after="0" w:line="259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sectPr w:rsidR="001B1E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4503"/>
    <w:multiLevelType w:val="hybridMultilevel"/>
    <w:tmpl w:val="1DF2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6B78"/>
    <w:multiLevelType w:val="multilevel"/>
    <w:tmpl w:val="456A5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05102A"/>
    <w:multiLevelType w:val="multilevel"/>
    <w:tmpl w:val="8BF4B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781E12"/>
    <w:multiLevelType w:val="multilevel"/>
    <w:tmpl w:val="A4C6F2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B71DBA"/>
    <w:multiLevelType w:val="multilevel"/>
    <w:tmpl w:val="314E0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A4195D"/>
    <w:multiLevelType w:val="multilevel"/>
    <w:tmpl w:val="8E3AD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BA1D6C"/>
    <w:multiLevelType w:val="multilevel"/>
    <w:tmpl w:val="F412057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E96E2A"/>
    <w:multiLevelType w:val="multilevel"/>
    <w:tmpl w:val="076C2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EB"/>
    <w:rsid w:val="00144712"/>
    <w:rsid w:val="001B1EEB"/>
    <w:rsid w:val="00365923"/>
    <w:rsid w:val="004150DF"/>
    <w:rsid w:val="00723560"/>
    <w:rsid w:val="007C2AB9"/>
    <w:rsid w:val="00A279BB"/>
    <w:rsid w:val="00C70D6D"/>
    <w:rsid w:val="00E04A73"/>
    <w:rsid w:val="00E92891"/>
    <w:rsid w:val="00E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9444C1"/>
  <w15:docId w15:val="{62ED84AE-53A6-4091-A69D-58B348BF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C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2</cp:revision>
  <dcterms:created xsi:type="dcterms:W3CDTF">2021-06-01T19:04:00Z</dcterms:created>
  <dcterms:modified xsi:type="dcterms:W3CDTF">2021-06-01T19:04:00Z</dcterms:modified>
</cp:coreProperties>
</file>